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Luo 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2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High Templar 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NO.101 MEISHE ROAD, MEILIN STREET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XIAMEN   F4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361100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560" w:type="dxa"/>
            <w:vAlign w:val="bottom"/>
            <w:tcBorders>
              <w:bottom w:val="single" w:sz="8" w:color="2C2C2C"/>
            </w:tcBorders>
          </w:tcPr>
          <w:p>
            <w:pPr>
              <w:jc w:val="right"/>
              <w:ind w:right="979"/>
              <w:spacing w:after="0"/>
              <w:rPr>
                <w:sz w:val="20"/>
                <w:szCs w:val="20"/>
                <w:color w:val="auto"/>
              </w:rPr>
            </w:pPr>
            <w:r>
              <w:rPr>
                <w:rFonts w:ascii="Times New Roman" w:cs="Times New Roman" w:eastAsia="Times New Roman" w:hAnsi="Times New Roman"/>
                <w:sz w:val="20"/>
                <w:szCs w:val="20"/>
                <w:color w:val="0000FF"/>
              </w:rPr>
              <w:t>2,836,200</w:t>
            </w: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20"/>
                <w:szCs w:val="20"/>
                <w:color w:val="0000FF"/>
              </w:rPr>
              <w:t>By Spouse</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8540" w:type="dxa"/>
            <w:vAlign w:val="bottom"/>
            <w:tcBorders>
              <w:top w:val="single" w:sz="8" w:color="2C2C2C"/>
            </w:tcBorders>
            <w:gridSpan w:val="4"/>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8540" w:type="dxa"/>
            <w:vAlign w:val="bottom"/>
            <w:gridSpan w:val="4"/>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47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56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4740" w:type="dxa"/>
            <w:vAlign w:val="bottom"/>
          </w:tcPr>
          <w:p>
            <w:pPr>
              <w:ind w:left="296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r>
      <w:tr>
        <w:trPr>
          <w:trHeight w:val="179"/>
        </w:trPr>
        <w:tc>
          <w:tcPr>
            <w:tcW w:w="20" w:type="dxa"/>
            <w:vAlign w:val="bottom"/>
          </w:tcPr>
          <w:p>
            <w:pPr>
              <w:spacing w:after="0"/>
              <w:rPr>
                <w:sz w:val="15"/>
                <w:szCs w:val="15"/>
                <w:color w:val="auto"/>
              </w:rPr>
            </w:pPr>
          </w:p>
        </w:tc>
        <w:tc>
          <w:tcPr>
            <w:tcW w:w="4740" w:type="dxa"/>
            <w:vAlign w:val="bottom"/>
          </w:tcPr>
          <w:p>
            <w:pPr>
              <w:ind w:left="2960"/>
              <w:spacing w:after="0"/>
              <w:rPr>
                <w:sz w:val="20"/>
                <w:szCs w:val="20"/>
                <w:color w:val="auto"/>
              </w:rPr>
            </w:pPr>
            <w:r>
              <w:rPr>
                <w:rFonts w:ascii="Arial" w:cs="Arial" w:eastAsia="Arial" w:hAnsi="Arial"/>
                <w:sz w:val="15"/>
                <w:szCs w:val="15"/>
                <w:b w:val="1"/>
                <w:bCs w:val="1"/>
                <w:color w:val="auto"/>
              </w:rPr>
              <w:t>(Month/Day/Year)</w:t>
            </w:r>
          </w:p>
        </w:tc>
        <w:tc>
          <w:tcPr>
            <w:tcW w:w="256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Beneficial</w:t>
            </w:r>
          </w:p>
        </w:tc>
      </w:tr>
    </w:tbl>
    <w:p>
      <w:pPr>
        <w:spacing w:after="0" w:line="1" w:lineRule="exact"/>
        <w:rPr>
          <w:sz w:val="24"/>
          <w:szCs w:val="24"/>
          <w:color w:val="auto"/>
        </w:rPr>
      </w:pPr>
    </w:p>
    <w:p>
      <w:pPr>
        <w:sectPr>
          <w:pgSz w:w="11900" w:h="16838" w:orient="portrait"/>
          <w:cols w:equalWidth="0" w:num="1">
            <w:col w:w="10940"/>
          </w:cols>
          <w:pgMar w:left="480" w:top="230" w:right="479" w:bottom="1440" w:gutter="0" w:footer="0" w:header="0"/>
          <w:type w:val="continuous"/>
        </w:sectPr>
      </w:pPr>
    </w:p>
    <w:p>
      <w:pPr>
        <w:spacing w:after="0" w:line="135" w:lineRule="exact"/>
        <w:rPr>
          <w:sz w:val="24"/>
          <w:szCs w:val="24"/>
          <w:color w:val="auto"/>
        </w:rPr>
      </w:pPr>
    </w:p>
    <w:p>
      <w:pPr>
        <w:ind w:left="6620"/>
        <w:spacing w:after="0"/>
        <w:rPr>
          <w:sz w:val="20"/>
          <w:szCs w:val="20"/>
          <w:color w:val="auto"/>
        </w:rPr>
      </w:pPr>
      <w:r>
        <w:rPr>
          <w:rFonts w:ascii="Arial" w:cs="Arial" w:eastAsia="Arial" w:hAnsi="Arial"/>
          <w:sz w:val="15"/>
          <w:szCs w:val="15"/>
          <w:b w:val="1"/>
          <w:bCs w:val="1"/>
          <w:color w:val="auto"/>
        </w:rPr>
        <w:t>Amount or</w:t>
      </w:r>
    </w:p>
    <w:p>
      <w:pPr>
        <w:ind w:left="2980"/>
        <w:spacing w:after="0"/>
        <w:tabs>
          <w:tab w:leader="none" w:pos="3960" w:val="left"/>
          <w:tab w:leader="none" w:pos="66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 of</w:t>
      </w:r>
    </w:p>
    <w:p>
      <w:pPr>
        <w:ind w:left="2980"/>
        <w:spacing w:after="0"/>
        <w:tabs>
          <w:tab w:leader="none" w:pos="3960" w:val="left"/>
          <w:tab w:leader="none" w:pos="4840" w:val="left"/>
          <w:tab w:leader="none" w:pos="660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4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100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1300" w:type="dxa"/>
            <w:vAlign w:val="bottom"/>
          </w:tcPr>
          <w:p>
            <w:pPr>
              <w:ind w:left="80"/>
              <w:spacing w:after="0" w:line="151" w:lineRule="exact"/>
              <w:rPr>
                <w:sz w:val="20"/>
                <w:szCs w:val="20"/>
                <w:color w:val="auto"/>
              </w:rPr>
            </w:pPr>
            <w:r>
              <w:rPr>
                <w:rFonts w:ascii="Arial" w:cs="Arial" w:eastAsia="Arial" w:hAnsi="Arial"/>
                <w:sz w:val="15"/>
                <w:szCs w:val="15"/>
                <w:b w:val="1"/>
                <w:bCs w:val="1"/>
                <w:color w:val="auto"/>
                <w:w w:val="97"/>
              </w:rPr>
              <w:t>Ownership (Instr.</w:t>
            </w:r>
          </w:p>
        </w:tc>
      </w:tr>
      <w:tr>
        <w:trPr>
          <w:trHeight w:val="165"/>
        </w:trPr>
        <w:tc>
          <w:tcPr>
            <w:tcW w:w="84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5)</w:t>
            </w:r>
          </w:p>
        </w:tc>
      </w:tr>
      <w:tr>
        <w:trPr>
          <w:trHeight w:val="206"/>
        </w:trPr>
        <w:tc>
          <w:tcPr>
            <w:tcW w:w="84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1300" w:type="dxa"/>
            <w:vAlign w:val="bottom"/>
          </w:tcPr>
          <w:p>
            <w:pPr>
              <w:spacing w:after="0"/>
              <w:rPr>
                <w:sz w:val="17"/>
                <w:szCs w:val="17"/>
                <w:color w:val="auto"/>
              </w:rPr>
            </w:pPr>
          </w:p>
        </w:tc>
      </w:tr>
    </w:tbl>
    <w:p>
      <w:pPr>
        <w:spacing w:after="0" w:line="258" w:lineRule="exact"/>
        <w:rPr>
          <w:sz w:val="24"/>
          <w:szCs w:val="24"/>
          <w:color w:val="auto"/>
        </w:rPr>
      </w:pPr>
    </w:p>
    <w:p>
      <w:pPr>
        <w:sectPr>
          <w:pgSz w:w="11900" w:h="16838" w:orient="portrait"/>
          <w:cols w:equalWidth="0" w:num="2">
            <w:col w:w="7380" w:space="280"/>
            <w:col w:w="328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240"/>
        </w:trPr>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w w:val="95"/>
              </w:rPr>
              <w:t>By Qufenqi</w:t>
            </w:r>
          </w:p>
        </w:tc>
        <w:tc>
          <w:tcPr>
            <w:tcW w:w="0" w:type="dxa"/>
            <w:vAlign w:val="bottom"/>
          </w:tcPr>
          <w:p>
            <w:pPr>
              <w:spacing w:after="0"/>
              <w:rPr>
                <w:sz w:val="1"/>
                <w:szCs w:val="1"/>
                <w:color w:val="auto"/>
              </w:rPr>
            </w:pPr>
          </w:p>
        </w:tc>
      </w:tr>
      <w:tr>
        <w:trPr>
          <w:trHeight w:val="120"/>
        </w:trPr>
        <w:tc>
          <w:tcPr>
            <w:tcW w:w="25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24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vMerge w:val="continue"/>
          </w:tcPr>
          <w:p>
            <w:pPr>
              <w:spacing w:after="0"/>
              <w:rPr>
                <w:sz w:val="10"/>
                <w:szCs w:val="10"/>
                <w:color w:val="auto"/>
              </w:rPr>
            </w:pPr>
          </w:p>
        </w:tc>
        <w:tc>
          <w:tcPr>
            <w:tcW w:w="128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color w:val="0000FF"/>
              </w:rPr>
              <w:t>63,491,172</w:t>
            </w: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color w:val="008000"/>
              </w:rPr>
              <w:t>(2)</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Holding</w:t>
            </w:r>
          </w:p>
        </w:tc>
        <w:tc>
          <w:tcPr>
            <w:tcW w:w="0" w:type="dxa"/>
            <w:vAlign w:val="bottom"/>
          </w:tcPr>
          <w:p>
            <w:pPr>
              <w:spacing w:after="0"/>
              <w:rPr>
                <w:sz w:val="1"/>
                <w:szCs w:val="1"/>
                <w:color w:val="auto"/>
              </w:rPr>
            </w:pPr>
          </w:p>
        </w:tc>
      </w:tr>
      <w:tr>
        <w:trPr>
          <w:trHeight w:val="120"/>
        </w:trPr>
        <w:tc>
          <w:tcPr>
            <w:tcW w:w="25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76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5"/>
              </w:rPr>
              <w:t>shares</w:t>
            </w:r>
          </w:p>
        </w:tc>
        <w:tc>
          <w:tcPr>
            <w:tcW w:w="12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represents one (1) Class A ordinary share, with a par value of US$0.0001 per share, of High Templar Tech Limited.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Class B ordinary shares are convertible into Class A ordinary shares on a one-for-one basis at the election of the holder. These conversion rights do not expire.</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Qufenqi Holding Limited is a limited liability company established in the British Virgin Islands, which is indirectly wholly owned by a trust of which Mr. Min Luo and his wife are the beneficiaries.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Sissi ZHU as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Sissi Zhu, Fengzhi Zhong and Yuying Wang,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High Templar Tech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Sissi Zhu, Fengzhi Zhong and Yuying Wang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 or Rule 144 under the Securities Act of 1933, as amended.</w:t>
      </w:r>
    </w:p>
    <w:p>
      <w:pPr>
        <w:spacing w:after="0" w:line="21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Min LUO</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r>
        <w:rPr>
          <w:rFonts w:ascii="Times New Roman" w:cs="Times New Roman" w:eastAsia="Times New Roman" w:hAnsi="Times New Roman"/>
          <w:sz w:val="20"/>
          <w:szCs w:val="20"/>
          <w:b w:val="1"/>
          <w:bCs w:val="1"/>
          <w:color w:val="auto"/>
        </w:rPr>
        <w:t>Min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19050</wp:posOffset>
            </wp:positionV>
            <wp:extent cx="31254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4967" TargetMode="External"/><Relationship Id="rId11" Type="http://schemas.openxmlformats.org/officeDocument/2006/relationships/hyperlink" Target="http://www.sec.gov/cgi-bin/browse-edgar?action=getcompany&amp;CIK=000169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2026-03-27T06:16:08Z</dcterms:created>
  <dcterms:modified xsi:type="dcterms:W3CDTF">2026-03-27T06:16:08Z</dcterms:modified>
</cp:coreProperties>
</file>