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7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TENDER OFFER STATEMENT</w:t>
      </w:r>
    </w:p>
    <w:p>
      <w:pPr>
        <w:spacing w:after="0" w:line="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UNDER SECTION 14(d)(1) OR 13(e)(1)</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32"/>
          <w:szCs w:val="32"/>
          <w:b w:val="1"/>
          <w:bCs w:val="1"/>
          <w:color w:val="auto"/>
        </w:rPr>
        <w:t>HIGH TEMPLAR TECH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(Name of Subject Company (Issuer) and Filing Person (as Offeror))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(Title of Class of Securities)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747798106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(CUSIP Number of Class of Securities)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Min Luo, Chairman and Chief Executive Officer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Telephone: +86-592-317-2318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Email: ir@hightemplar.com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101, Meishe Road, Meilin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Tongan District, Xiamen, Fujian Province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(Name, address and telephone number of person authorized</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to receive notices and communications on behalf of filing persons)</w:t>
      </w:r>
    </w:p>
    <w:p>
      <w:pPr>
        <w:spacing w:after="0" w:line="203"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576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i w:val="1"/>
                <w:iCs w:val="1"/>
                <w:color w:val="auto"/>
                <w:w w:val="99"/>
              </w:rPr>
              <w:t>With copies to:</w:t>
            </w:r>
          </w:p>
        </w:tc>
      </w:tr>
      <w:tr>
        <w:trPr>
          <w:trHeight w:val="41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Yi Gao</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8"/>
              </w:rPr>
              <w:t>Marisa D. Stavenas</w:t>
            </w:r>
          </w:p>
        </w:tc>
      </w:tr>
      <w:tr>
        <w:trPr>
          <w:trHeight w:val="216"/>
        </w:trPr>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Simpson Thacher &amp; Bartlett</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John O’Connell</w:t>
            </w:r>
          </w:p>
        </w:tc>
      </w:tr>
      <w:tr>
        <w:trPr>
          <w:trHeight w:val="216"/>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35th Floor, ICBC Tower</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tc>
      </w:tr>
      <w:tr>
        <w:trPr>
          <w:trHeight w:val="216"/>
        </w:trPr>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Hong Kong, China</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425 Lexington Avenue</w:t>
            </w:r>
          </w:p>
        </w:tc>
      </w:tr>
      <w:tr>
        <w:trPr>
          <w:trHeight w:val="216"/>
        </w:trPr>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(852) 2514-7600</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8"/>
              </w:rPr>
              <w:t>New York, NY 10017</w:t>
            </w:r>
          </w:p>
        </w:tc>
      </w:tr>
      <w:tr>
        <w:trPr>
          <w:trHeight w:val="238"/>
        </w:trPr>
        <w:tc>
          <w:tcPr>
            <w:tcW w:w="2320" w:type="dxa"/>
            <w:vAlign w:val="bottom"/>
          </w:tcPr>
          <w:p>
            <w:pPr>
              <w:spacing w:after="0"/>
              <w:rPr>
                <w:sz w:val="20"/>
                <w:szCs w:val="20"/>
                <w:color w:val="auto"/>
              </w:rPr>
            </w:pP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(212) 455-2000</w:t>
            </w:r>
          </w:p>
        </w:tc>
      </w:tr>
      <w:tr>
        <w:trPr>
          <w:trHeight w:val="423"/>
        </w:trPr>
        <w:tc>
          <w:tcPr>
            <w:tcW w:w="2320" w:type="dxa"/>
            <w:vAlign w:val="bottom"/>
          </w:tcPr>
          <w:p>
            <w:pPr>
              <w:spacing w:after="0"/>
              <w:rPr>
                <w:sz w:val="24"/>
                <w:szCs w:val="24"/>
                <w:color w:val="auto"/>
              </w:rPr>
            </w:pPr>
          </w:p>
        </w:tc>
        <w:tc>
          <w:tcPr>
            <w:tcW w:w="57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rPr>
              <w:t>Harald Halbhuber</w:t>
            </w:r>
          </w:p>
        </w:tc>
      </w:tr>
      <w:tr>
        <w:trPr>
          <w:trHeight w:val="216"/>
        </w:trPr>
        <w:tc>
          <w:tcPr>
            <w:tcW w:w="2320" w:type="dxa"/>
            <w:vAlign w:val="bottom"/>
          </w:tcPr>
          <w:p>
            <w:pPr>
              <w:spacing w:after="0"/>
              <w:rPr>
                <w:sz w:val="18"/>
                <w:szCs w:val="18"/>
                <w:color w:val="auto"/>
              </w:rPr>
            </w:pPr>
          </w:p>
        </w:tc>
        <w:tc>
          <w:tcPr>
            <w:tcW w:w="57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rPr>
              <w:t>Lesley Janzen</w:t>
            </w:r>
          </w:p>
        </w:tc>
      </w:tr>
      <w:tr>
        <w:trPr>
          <w:trHeight w:val="216"/>
        </w:trPr>
        <w:tc>
          <w:tcPr>
            <w:tcW w:w="2320" w:type="dxa"/>
            <w:vAlign w:val="bottom"/>
          </w:tcPr>
          <w:p>
            <w:pPr>
              <w:spacing w:after="0"/>
              <w:rPr>
                <w:sz w:val="18"/>
                <w:szCs w:val="18"/>
                <w:color w:val="auto"/>
              </w:rPr>
            </w:pPr>
          </w:p>
        </w:tc>
        <w:tc>
          <w:tcPr>
            <w:tcW w:w="576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9"/>
              </w:rPr>
              <w:t>Cleary Gottlieb Steen &amp; Hamilton LLP</w:t>
            </w:r>
          </w:p>
        </w:tc>
      </w:tr>
      <w:tr>
        <w:trPr>
          <w:trHeight w:val="216"/>
        </w:trPr>
        <w:tc>
          <w:tcPr>
            <w:tcW w:w="2320" w:type="dxa"/>
            <w:vAlign w:val="bottom"/>
          </w:tcPr>
          <w:p>
            <w:pPr>
              <w:spacing w:after="0"/>
              <w:rPr>
                <w:sz w:val="18"/>
                <w:szCs w:val="18"/>
                <w:color w:val="auto"/>
              </w:rPr>
            </w:pPr>
          </w:p>
        </w:tc>
        <w:tc>
          <w:tcPr>
            <w:tcW w:w="57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r>
      <w:tr>
        <w:trPr>
          <w:trHeight w:val="216"/>
        </w:trPr>
        <w:tc>
          <w:tcPr>
            <w:tcW w:w="2320" w:type="dxa"/>
            <w:vAlign w:val="bottom"/>
          </w:tcPr>
          <w:p>
            <w:pPr>
              <w:spacing w:after="0"/>
              <w:rPr>
                <w:sz w:val="18"/>
                <w:szCs w:val="18"/>
                <w:color w:val="auto"/>
              </w:rPr>
            </w:pPr>
          </w:p>
        </w:tc>
        <w:tc>
          <w:tcPr>
            <w:tcW w:w="57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8"/>
              </w:rPr>
              <w:t>New York, NY 10006</w:t>
            </w:r>
          </w:p>
        </w:tc>
      </w:tr>
      <w:tr>
        <w:trPr>
          <w:trHeight w:val="238"/>
        </w:trPr>
        <w:tc>
          <w:tcPr>
            <w:tcW w:w="2320" w:type="dxa"/>
            <w:vAlign w:val="bottom"/>
          </w:tcPr>
          <w:p>
            <w:pPr>
              <w:spacing w:after="0"/>
              <w:rPr>
                <w:sz w:val="20"/>
                <w:szCs w:val="20"/>
                <w:color w:val="auto"/>
              </w:rPr>
            </w:pPr>
          </w:p>
        </w:tc>
        <w:tc>
          <w:tcPr>
            <w:tcW w:w="57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9"/>
              </w:rPr>
              <w:t>(212) 225-2000</w:t>
            </w:r>
          </w:p>
        </w:tc>
      </w:tr>
    </w:tbl>
    <w:p>
      <w:pPr>
        <w:spacing w:after="0" w:line="198" w:lineRule="exact"/>
        <w:rPr>
          <w:sz w:val="24"/>
          <w:szCs w:val="24"/>
          <w:color w:val="auto"/>
        </w:rPr>
      </w:pPr>
    </w:p>
    <w:p>
      <w:pPr>
        <w:ind w:right="999" w:firstLine="8"/>
        <w:spacing w:after="0" w:line="47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to designate any transactions to which the statement relates:</w:t>
      </w:r>
    </w:p>
    <w:p>
      <w:pPr>
        <w:spacing w:after="0" w:line="41" w:lineRule="exact"/>
        <w:rPr>
          <w:rFonts w:ascii="MS PGothic" w:cs="MS PGothic" w:eastAsia="MS PGothic" w:hAnsi="MS PGothic"/>
          <w:sz w:val="18"/>
          <w:szCs w:val="18"/>
          <w:color w:val="auto"/>
        </w:rPr>
      </w:pPr>
    </w:p>
    <w:p>
      <w:pPr>
        <w:ind w:left="660" w:hanging="328"/>
        <w:spacing w:after="0"/>
        <w:tabs>
          <w:tab w:leader="none" w:pos="6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225" w:lineRule="exact"/>
        <w:rPr>
          <w:sz w:val="24"/>
          <w:szCs w:val="24"/>
          <w:color w:val="auto"/>
        </w:rPr>
      </w:pP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3" w:right="1440" w:bottom="717"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1 (this “Amendment”) amends and supplements the Tender Offer Statement on Schedule TO originally filed with the Securities and Exchange Commission by High Templar Tech Limited (“High Templar,” or the “Company”) on May 26, 2026 (the “Schedule TO”), relating to the offer by the Company to purchase for cash up to 39 million American Depositary Shares (the “ADSs”) of the Company, each representing one Class A ordinary share, par value US$0.0001 per share, at a price of not less than US$2.80 and not greater than US$3.20 per ADS, to the seller in cash, less any applicable withholding taxes and without interest.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offer was made upon the terms and subject to the conditions set forth in the Offer to Purchase, dated May 26, 2026, a copy of which was filed as Exhibit (a)(1)(A) to the Schedule TO (together with any amendments or supplements thereto, the “Offer to Purchase”), and the related Letter of Transmittal, a copy of which was filed as Exhibit (a)(1)(B) to the Schedule TO (together with any amendments or supplements thereto, the “Letter of Transmittal” and, together with the Offer to Purchase, the “Tender Offer”).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Amendment is to amend and supplement the Schedule TO. Only those items that are amended are reported in this Amendment. Except as specifically provided herein, the information contained in the Schedule TO, the Offer to Purchase and the Letter of Transmittal remains unchanged. This Amendment should be read together with the Schedule TO, the Offer to Purchase and the Letter of Transmittal.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in Item 11 of the Schedule TO is hereby amended and supplemented by adding the following: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the preliminary results of the Tender Offer, which expired at 5:00 P.M., New York City time, on June 24, 2026. The full text of the press release is attached as Exhibit (a)(5)(B) to this Schedule 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0000EE"/>
        </w:rPr>
        <w:t>(a)(5)(B)</w:t>
      </w:r>
      <w:r>
        <w:rPr>
          <w:sz w:val="20"/>
          <w:szCs w:val="20"/>
          <w:color w:val="auto"/>
        </w:rPr>
        <w:tab/>
      </w:r>
      <w:r>
        <w:rPr>
          <w:rFonts w:ascii="Times New Roman" w:cs="Times New Roman" w:eastAsia="Times New Roman" w:hAnsi="Times New Roman"/>
          <w:sz w:val="18"/>
          <w:szCs w:val="18"/>
          <w:u w:val="single" w:color="auto"/>
          <w:color w:val="0000EE"/>
        </w:rPr>
        <w:t>Press release, dated June 25,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Min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Min Luo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0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 w:lineRule="exact"/>
        <w:rPr>
          <w:sz w:val="20"/>
          <w:szCs w:val="20"/>
          <w:color w:val="auto"/>
        </w:rPr>
      </w:pPr>
    </w:p>
    <w:p>
      <w:pPr>
        <w:ind w:right="100"/>
        <w:spacing w:after="0" w:line="267" w:lineRule="auto"/>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u w:val="single" w:color="auto"/>
            <w:color w:val="0000EE"/>
          </w:rPr>
          <w:t>(a)(1)(A)</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28"/>
          <w:szCs w:val="28"/>
          <w:color w:val="0000EE"/>
          <w:vertAlign w:val="superscript"/>
        </w:rPr>
        <w:t>*</w:t>
      </w:r>
      <w:r>
        <w:rPr>
          <w:rFonts w:ascii="Times New Roman" w:cs="Times New Roman" w:eastAsia="Times New Roman" w:hAnsi="Times New Roman"/>
          <w:sz w:val="17"/>
          <w:szCs w:val="17"/>
          <w:color w:val="0000EE"/>
        </w:rPr>
        <w:t xml:space="preserve"> </w:t>
      </w:r>
      <w:hyperlink r:id="rId18">
        <w:r>
          <w:rPr>
            <w:rFonts w:ascii="Times New Roman" w:cs="Times New Roman" w:eastAsia="Times New Roman" w:hAnsi="Times New Roman"/>
            <w:sz w:val="17"/>
            <w:szCs w:val="17"/>
            <w:u w:val="single" w:color="auto"/>
            <w:color w:val="0000EE"/>
          </w:rPr>
          <w:t>(a)(1)(B)</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28"/>
          <w:szCs w:val="28"/>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-351155</wp:posOffset>
            </wp:positionV>
            <wp:extent cx="71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120" cy="8255"/>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-128270</wp:posOffset>
            </wp:positionV>
            <wp:extent cx="71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jc w:val="both"/>
        <w:ind w:right="40"/>
        <w:spacing w:after="0" w:line="253" w:lineRule="auto"/>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(a)(1)(C)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29"/>
          <w:szCs w:val="29"/>
          <w:color w:val="0000EE"/>
          <w:vertAlign w:val="superscript"/>
        </w:rPr>
        <w:t>*</w:t>
      </w:r>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u w:val="single" w:color="auto"/>
            <w:color w:val="0000EE"/>
          </w:rPr>
          <w:t>(a)(1)(D)</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29"/>
          <w:szCs w:val="29"/>
          <w:color w:val="0000EE"/>
          <w:vertAlign w:val="superscript"/>
        </w:rPr>
        <w:t>*</w:t>
      </w:r>
      <w:r>
        <w:rPr>
          <w:rFonts w:ascii="Times New Roman" w:cs="Times New Roman" w:eastAsia="Times New Roman" w:hAnsi="Times New Roman"/>
          <w:sz w:val="18"/>
          <w:szCs w:val="18"/>
          <w:color w:val="0000EE"/>
        </w:rPr>
        <w:t xml:space="preserve"> </w:t>
      </w:r>
      <w:hyperlink r:id="rId23">
        <w:r>
          <w:rPr>
            <w:rFonts w:ascii="Times New Roman" w:cs="Times New Roman" w:eastAsia="Times New Roman" w:hAnsi="Times New Roman"/>
            <w:sz w:val="18"/>
            <w:szCs w:val="18"/>
            <w:u w:val="single" w:color="auto"/>
            <w:color w:val="0000EE"/>
          </w:rPr>
          <w:t>(a)(1)(E)</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29"/>
          <w:szCs w:val="29"/>
          <w:color w:val="0000EE"/>
          <w:vertAlign w:val="superscript"/>
        </w:rPr>
        <w:t>*</w:t>
      </w:r>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(a)(1)(F)</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29"/>
          <w:szCs w:val="29"/>
          <w:color w:val="0000EE"/>
          <w:vertAlign w:val="superscript"/>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(a)(5)(A)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29"/>
          <w:szCs w:val="29"/>
          <w:color w:val="0000EE"/>
          <w:vertAlign w:val="superscript"/>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(a)(5)(B)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9"/>
          <w:szCs w:val="29"/>
          <w:color w:val="0000EE"/>
          <w:vertAlign w:val="superscript"/>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(d)(1)</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417195</wp:posOffset>
            </wp:positionH>
            <wp:positionV relativeFrom="paragraph">
              <wp:posOffset>-1383665</wp:posOffset>
            </wp:positionV>
            <wp:extent cx="71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12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-1160780</wp:posOffset>
            </wp:positionV>
            <wp:extent cx="71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1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-937895</wp:posOffset>
            </wp:positionV>
            <wp:extent cx="71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120" cy="825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-715010</wp:posOffset>
            </wp:positionV>
            <wp:extent cx="71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12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-492125</wp:posOffset>
            </wp:positionV>
            <wp:extent cx="71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120" cy="8255"/>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-269240</wp:posOffset>
            </wp:positionV>
            <wp:extent cx="118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0000EE"/>
        </w:rPr>
      </w:pPr>
    </w:p>
    <w:p>
      <w:pPr>
        <w:spacing w:after="0" w:line="281"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(d)(2)</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343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1"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Offer to Purchase, dated May 26, 2026.</w:t>
        </w:r>
      </w:hyperlink>
    </w:p>
    <w:p>
      <w:pPr>
        <w:spacing w:after="0" w:line="139"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Letter of Transmittal.</w:t>
        </w:r>
      </w:hyperlink>
    </w:p>
    <w:p>
      <w:pPr>
        <w:spacing w:after="0" w:line="144"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Notice of Guaranteed Delivery.</w:t>
        </w:r>
      </w:hyperlink>
    </w:p>
    <w:p>
      <w:pPr>
        <w:spacing w:after="0" w:line="144"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Letter to Brokers, Dealers, Commercial Banks, Trust Companies and other Nominees.</w:t>
        </w:r>
      </w:hyperlink>
    </w:p>
    <w:p>
      <w:pPr>
        <w:spacing w:after="0" w:line="144"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Letter to Clients for use by Brokers, Dealers, Commercial Banks, Trust Companies and other Nominees.</w:t>
        </w:r>
      </w:hyperlink>
    </w:p>
    <w:p>
      <w:pPr>
        <w:spacing w:after="0" w:line="144"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Summary Advertisement, dated May 26, 2026.</w:t>
        </w:r>
      </w:hyperlink>
    </w:p>
    <w:p>
      <w:pPr>
        <w:spacing w:after="0" w:line="144"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Press release announcing the commencement of the Offer, dated May 26, 2026.</w:t>
        </w:r>
      </w:hyperlink>
    </w:p>
    <w:p>
      <w:pPr>
        <w:spacing w:after="0" w:line="14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dated June 25, 2026.</w:t>
      </w:r>
    </w:p>
    <w:p>
      <w:pPr>
        <w:spacing w:after="0" w:line="144" w:lineRule="exact"/>
        <w:rPr>
          <w:rFonts w:ascii="Times New Roman" w:cs="Times New Roman" w:eastAsia="Times New Roman" w:hAnsi="Times New Roman"/>
          <w:sz w:val="18"/>
          <w:szCs w:val="18"/>
          <w:color w:val="0000EE"/>
        </w:rPr>
      </w:pPr>
    </w:p>
    <w:p>
      <w:pPr>
        <w:jc w:val="both"/>
        <w:spacing w:after="0" w:line="266" w:lineRule="auto"/>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Form of Deposit Agreement (incorporated herein by reference to Exhibit (a) to the registration statement on Form F-6 (File No. 333-</w:t>
        </w:r>
      </w:hyperlink>
      <w:hyperlink r:id="rId26">
        <w:r>
          <w:rPr>
            <w:rFonts w:ascii="Times New Roman" w:cs="Times New Roman" w:eastAsia="Times New Roman" w:hAnsi="Times New Roman"/>
            <w:sz w:val="18"/>
            <w:szCs w:val="18"/>
            <w:u w:val="single" w:color="auto"/>
            <w:color w:val="0000EE"/>
          </w:rPr>
          <w:t>220779) filed with the Securities and Exchange Commission on October 3, 2017 with respect to American depositary shares representing</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our Class A ordinary shares).</w:t>
        </w:r>
      </w:hyperlink>
    </w:p>
    <w:p>
      <w:pPr>
        <w:spacing w:after="0" w:line="54" w:lineRule="exact"/>
        <w:rPr>
          <w:rFonts w:ascii="Times New Roman" w:cs="Times New Roman" w:eastAsia="Times New Roman" w:hAnsi="Times New Roman"/>
          <w:sz w:val="18"/>
          <w:szCs w:val="18"/>
          <w:u w:val="single" w:color="auto"/>
          <w:color w:val="0000EE"/>
        </w:rPr>
      </w:pPr>
    </w:p>
    <w:p>
      <w:pPr>
        <w:jc w:val="both"/>
        <w:spacing w:after="0" w:line="282" w:lineRule="auto"/>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Qudian Inc. 2016 Equity Incentive Plan (incorporated herein by reference to Exhibit 10.3 to the registration statement on Form F-1 (File</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No. 333-220511), as amended, initially filed with the Securities and Exchange Commission on September 18, 2017).</w:t>
        </w:r>
      </w:hyperlink>
    </w:p>
    <w:p>
      <w:pPr>
        <w:spacing w:after="0" w:line="27" w:lineRule="exact"/>
        <w:rPr>
          <w:sz w:val="20"/>
          <w:szCs w:val="20"/>
          <w:color w:val="auto"/>
        </w:rPr>
      </w:pPr>
    </w:p>
    <w:p>
      <w:pPr>
        <w:sectPr>
          <w:pgSz w:w="11900" w:h="16838" w:orient="portrait"/>
          <w:cols w:equalWidth="0" w:num="2">
            <w:col w:w="880" w:space="380"/>
            <w:col w:w="998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240" w:type="dxa"/>
            <w:vAlign w:val="bottom"/>
            <w:gridSpan w:val="3"/>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(d)(3)</w:t>
              </w:r>
            </w:hyperlink>
          </w:p>
        </w:tc>
        <w:tc>
          <w:tcPr>
            <w:tcW w:w="10000" w:type="dxa"/>
            <w:vAlign w:val="bottom"/>
            <w:gridSpan w:val="7"/>
          </w:tcPr>
          <w:p>
            <w:pPr>
              <w:ind w:left="20"/>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Amendment No. 1 to Qudian Inc. 2016 Equity Incentive Plan (incorporated herein by reference to Exhibit 10.4 to the registration</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statement on Form F-1 (File No. 333-220511), as amended, initially filed with the Securities and Exchange Commission on September 18,</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4"/>
              </w:rPr>
            </w:pPr>
            <w:hyperlink r:id="rId35">
              <w:r>
                <w:rPr>
                  <w:rFonts w:ascii="Times New Roman" w:cs="Times New Roman" w:eastAsia="Times New Roman" w:hAnsi="Times New Roman"/>
                  <w:sz w:val="18"/>
                  <w:szCs w:val="18"/>
                  <w:color w:val="0000EE"/>
                  <w:w w:val="94"/>
                </w:rPr>
                <w:t>2017).</w:t>
              </w:r>
            </w:hyperlink>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40" w:type="dxa"/>
            <w:vAlign w:val="bottom"/>
            <w:gridSpan w:val="3"/>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(d)(4)</w:t>
              </w:r>
            </w:hyperlink>
          </w:p>
        </w:tc>
        <w:tc>
          <w:tcPr>
            <w:tcW w:w="10000" w:type="dxa"/>
            <w:vAlign w:val="bottom"/>
            <w:gridSpan w:val="7"/>
          </w:tcPr>
          <w:p>
            <w:pPr>
              <w:ind w:left="20"/>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Amendment No. 2 to Qudian Inc. 2016 Equity Incentive Plan (incorporated herein by reference to Exhibit 10.5 to the registration</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statement on Form F-1 (File No. 333-220511), as amended, initially filed with the Securities and Exchange Commission on September 18,</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4"/>
              </w:rPr>
            </w:pPr>
            <w:hyperlink r:id="rId36">
              <w:r>
                <w:rPr>
                  <w:rFonts w:ascii="Times New Roman" w:cs="Times New Roman" w:eastAsia="Times New Roman" w:hAnsi="Times New Roman"/>
                  <w:sz w:val="18"/>
                  <w:szCs w:val="18"/>
                  <w:color w:val="0000EE"/>
                  <w:w w:val="94"/>
                </w:rPr>
                <w:t>2017).</w:t>
              </w:r>
            </w:hyperlink>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40" w:type="dxa"/>
            <w:vAlign w:val="bottom"/>
            <w:gridSpan w:val="3"/>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(d)(5)</w:t>
              </w:r>
            </w:hyperlink>
          </w:p>
        </w:tc>
        <w:tc>
          <w:tcPr>
            <w:tcW w:w="10000" w:type="dxa"/>
            <w:vAlign w:val="bottom"/>
            <w:gridSpan w:val="7"/>
          </w:tcPr>
          <w:p>
            <w:pPr>
              <w:ind w:left="20"/>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Trust Deed Constituting Qudian Inc. Equity Incentive Trust, dated December 30, 2016, between Qudian Inc. and Ark Trust (Hong Kong)</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00" w:type="dxa"/>
            <w:vAlign w:val="bottom"/>
            <w:tcBorders>
              <w:top w:val="single" w:sz="8" w:color="0000EE"/>
            </w:tcBorders>
            <w:gridSpan w:val="7"/>
          </w:tcPr>
          <w:p>
            <w:pPr>
              <w:ind w:left="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Limited (incorporated herein by reference to Exhibit 10.37 to the registration statement on Form F-1 (File No. 333-220511), as amended,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80" w:type="dxa"/>
            <w:vAlign w:val="bottom"/>
            <w:tcBorders>
              <w:top w:val="single" w:sz="8" w:color="0000EE"/>
            </w:tcBorders>
            <w:gridSpan w:val="6"/>
          </w:tcPr>
          <w:p>
            <w:pPr>
              <w:ind w:left="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initially filed with the Securities and Exchange Commission on September 18,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gridSpan w:val="3"/>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(d)(6)</w:t>
              </w:r>
            </w:hyperlink>
          </w:p>
        </w:tc>
        <w:tc>
          <w:tcPr>
            <w:tcW w:w="10000" w:type="dxa"/>
            <w:vAlign w:val="bottom"/>
            <w:gridSpan w:val="7"/>
          </w:tcPr>
          <w:p>
            <w:pPr>
              <w:ind w:left="20"/>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Indemnification Agreement between the Registrant and its directors and executive officers (incorporated herein by reference to</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Exhibit 10.1 to the registration statement on Form F-1 (File No. 333-220511), as amended, initially filed with the Securities and Exchange</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4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Commission on September 18, 2017).</w:t>
              </w:r>
            </w:hyperlink>
          </w:p>
        </w:tc>
        <w:tc>
          <w:tcPr>
            <w:tcW w:w="7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40" w:type="dxa"/>
            <w:vAlign w:val="bottom"/>
            <w:gridSpan w:val="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(d)(7)</w:t>
              </w:r>
            </w:hyperlink>
          </w:p>
        </w:tc>
        <w:tc>
          <w:tcPr>
            <w:tcW w:w="10000" w:type="dxa"/>
            <w:vAlign w:val="bottom"/>
            <w:gridSpan w:val="7"/>
          </w:tcPr>
          <w:p>
            <w:pPr>
              <w:ind w:left="20"/>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of Employment Agreement between the Registrant and its executive officers (incorporated herein by reference to Exhibit 10.2 to the</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7"/>
          </w:tcPr>
          <w:p>
            <w:pPr>
              <w:ind w:left="20"/>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registration statement on Form F-1 (File No. 333-220511), as amended, initially filed with the Securities and Exchange Commission on</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September 18, 2017).</w:t>
              </w:r>
            </w:hyperlink>
          </w:p>
        </w:tc>
        <w:tc>
          <w:tcPr>
            <w:tcW w:w="8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20" w:type="dxa"/>
            <w:vAlign w:val="bottom"/>
            <w:vMerge w:val="restart"/>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107</w:t>
              </w:r>
            </w:hyperlink>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79"/>
              </w:rPr>
              <w:t>*</w:t>
            </w:r>
          </w:p>
        </w:tc>
        <w:tc>
          <w:tcPr>
            <w:tcW w:w="820" w:type="dxa"/>
            <w:vAlign w:val="bottom"/>
          </w:tcPr>
          <w:p>
            <w:pPr>
              <w:spacing w:after="0"/>
              <w:rPr>
                <w:sz w:val="22"/>
                <w:szCs w:val="22"/>
                <w:color w:val="auto"/>
              </w:rPr>
            </w:pPr>
          </w:p>
        </w:tc>
        <w:tc>
          <w:tcPr>
            <w:tcW w:w="1240" w:type="dxa"/>
            <w:vAlign w:val="bottom"/>
            <w:gridSpan w:val="2"/>
            <w:vMerge w:val="restart"/>
          </w:tcPr>
          <w:p>
            <w:pPr>
              <w:ind w:left="20"/>
              <w:spacing w:after="0"/>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Filing Fee Table.</w:t>
              </w:r>
            </w:hyperlink>
          </w:p>
        </w:tc>
        <w:tc>
          <w:tcPr>
            <w:tcW w:w="8760" w:type="dxa"/>
            <w:vAlign w:val="bottom"/>
            <w:gridSpan w:val="5"/>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Borders>
              <w:bottom w:val="single" w:sz="8" w:color="0000EE"/>
            </w:tcBorders>
            <w:gridSpan w:val="2"/>
            <w:vMerge w:val="continue"/>
          </w:tcPr>
          <w:p>
            <w:pPr>
              <w:spacing w:after="0" w:line="20" w:lineRule="exact"/>
              <w:rPr>
                <w:sz w:val="1"/>
                <w:szCs w:val="1"/>
                <w:color w:val="auto"/>
              </w:rPr>
            </w:pPr>
          </w:p>
        </w:tc>
        <w:tc>
          <w:tcPr>
            <w:tcW w:w="8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20" w:type="dxa"/>
            <w:vAlign w:val="bottom"/>
            <w:tcBorders>
              <w:bottom w:val="single" w:sz="8" w:color="0000EE"/>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right="9720" w:firstLine="8"/>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Previously ** Filed 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(a)(5)(B)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Announces Preliminary Results of Modified Dutch Auction Tender Offer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XIAMEN, China, June 25, 2026 /PRNewswire/ -- High Templar Tech Limited (the “Company,” “High Templar” or “we”) (NYSE: HTT), announced today the preliminary results of its “modified Dutch Auction” tender offer to purchase up to 39 million American Depositary Shares (the “ADSs”) of the Company, each representing one Class A ordinary share, par value US$0.0001 per share, which expired at 5:00 P.M., New York City time, on June 24,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preliminary count by Equiniti Trust Company, LLC, the depositary for the tender offer (the “Depositary”), a total of 46,046,558 ADSs of the Company were properly tendered and not properly withdrawn at or below the purchase price of US$3.20 per ADS, including 446,909 ADSs that were tendered by notice of guaranteed delivery.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terms and conditions of the tender offer and based on the preliminary count by the Depositary, the Company expects to purchase approximately 40,869,952 ADSs that were tendered in the tender offer at a purchase price of US$3.20 per ADS, for an aggregate cost of approximately US$130.8 million, excluding fees and expenses relating to the tender offer. Included in the 40,869,952 ADSs that the Company expects to purchase are 1,869,952 ADSs that the Company has elected to purchase pursuant to its right to purchase up to an additional 2% of its outstanding ADSs. Due to the oversubscription of the tender offer, the Company expects to accept the ADSs on a pro rata basis, except for tenders of “odd lots,” which will be accepted in full, and conditional tenders that will automatically be regarded as withdrawn because the condition of the tender has not been met, and has been informed by the Depositary that the preliminary proration factor for the Offer is approximately 88.8%, assuming all ADSs tendered by notice of guaranteed delivery will be delivered. The total of 40,869,952 ADSs that the Company expects to purchase represents approximately 43.7% of the total number of ADSs outstanding as of June 24, 2026.</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ADSs expected to be purchased by the Company and the proration factor are preliminary and subject to change. The preliminary information contained in this press release is subject to confirmation by the Depositary and is based on the assumption that all ADSs tendered through notice of guaranteed delivery will be delivered within the one-trading day settlement period. The final number of ADSs to be purchased by the Company will be announced following the expiration of the guaranteed delivery period and completion by the Depositary of the confirmation process. Payment for the ADSs accepted for purchase under the tender offer will occur promptly thereafter.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Deutsche Bank Securities Inc. acts as dealer manager for the tender offer and D.F. King &amp; Co., Inc. acts as information agent for the tender offer. Shareholders who have questions or would like additional information about the tender offer may contact D.F. King &amp; Co., Inc. at (888) 644-5854, toll at (646) 989-1649 or email at htt@dfking.com; banks and brokers may call Deutsche Bank Securities Inc. at (212) 250-5600.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High Templar Tech Limited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High Templar is exploring innovative business opportunities globally to satisfy clients’ demand by leveraging its technology know-how and financial service capabilities.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https://ir.hightemplar.com/.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including regarding the consummation of the tender offer and payment for shares purchased in the tender offer. These forward-looking statements can be identified by terminology such as “will,” “expects,” “anticipates,” “future,” “intends,” “plans,” “believes,” “estimates” and similar statements. Among other things, the expectation of its collection efficiency and delinquency, contain forward-looking statements. High Templar may also make written or oral forward-looking statements in its periodic reports to the SEC, in its annual report to securityholders, in press releases and other written materials and in oral statements made by its officers, directors or employees to third parties. Statements that are not historical facts, including statements about High Templar’s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High Templar’s goal and strategies; High Templar’s expansion plans; High Templar’s future business development, financial condition and results of operations; High Templar’s expectations regarding demand for, and market acceptance of, its products; High Templar’s expectations regarding keeping and strengthening its relationships with customers, business partners and other parties it collaborates with; general economic and business conditions; and assumptions underlying or related to any of the foregoing. Further information regarding these and other risks is included in High Templar’s filings with the SEC. All information provided in this press release and in the attachments is as of the date of this press release, and High Templar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Templar Tech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+86-592-317-2318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E-mail: ir@hightemplar.com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4"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17" Type="http://schemas.openxmlformats.org/officeDocument/2006/relationships/hyperlink" Target="https://www.sec.gov/Archives/edgar/data/1692705/000110465926065886/tm2615461d1_ex99-a1a.htm" TargetMode="External"/><Relationship Id="rId18" Type="http://schemas.openxmlformats.org/officeDocument/2006/relationships/hyperlink" Target="https://www.sec.gov/Archives/edgar/data/1692705/000110465926065886/tm2615461d1_ex99-a1b.htm" TargetMode="External"/><Relationship Id="rId21" Type="http://schemas.openxmlformats.org/officeDocument/2006/relationships/hyperlink" Target="https://www.sec.gov/Archives/edgar/data/1692705/000110465926065886/tm2615461d1_ex99-a1c.htm" TargetMode="External"/><Relationship Id="rId22" Type="http://schemas.openxmlformats.org/officeDocument/2006/relationships/hyperlink" Target="https://www.sec.gov/Archives/edgar/data/1692705/000110465926065886/tm2615461d1_ex99-a1d.htm" TargetMode="External"/><Relationship Id="rId23" Type="http://schemas.openxmlformats.org/officeDocument/2006/relationships/hyperlink" Target="https://www.sec.gov/Archives/edgar/data/1692705/000110465926065886/tm2615461d1_ex99-a1e.htm" TargetMode="External"/><Relationship Id="rId24" Type="http://schemas.openxmlformats.org/officeDocument/2006/relationships/hyperlink" Target="https://www.sec.gov/Archives/edgar/data/1692705/000110465926065886/tm2615461d2_ex99-a1f.htm" TargetMode="External"/><Relationship Id="rId25" Type="http://schemas.openxmlformats.org/officeDocument/2006/relationships/hyperlink" Target="https://www.sec.gov/Archives/edgar/data/1692705/000110465926065886/tm2615461d2_ex99-a5a.htm" TargetMode="External"/><Relationship Id="rId26" Type="http://schemas.openxmlformats.org/officeDocument/2006/relationships/hyperlink" Target="https://www.sec.gov/Archives/edgar/data/1471515/000095012717000050/a17-26_ex4.htm" TargetMode="External"/><Relationship Id="rId33" Type="http://schemas.openxmlformats.org/officeDocument/2006/relationships/hyperlink" Target="https://www.sec.gov/Archives/edgar/data/1692705/000119312517287443/d282719dex103.htm" TargetMode="External"/><Relationship Id="rId35" Type="http://schemas.openxmlformats.org/officeDocument/2006/relationships/hyperlink" Target="https://www.sec.gov/Archives/edgar/data/1692705/000119312517287443/d282719dex104.htm" TargetMode="External"/><Relationship Id="rId36" Type="http://schemas.openxmlformats.org/officeDocument/2006/relationships/hyperlink" Target="https://www.sec.gov/Archives/edgar/data/1692705/000119312517287443/d282719dex105.htm" TargetMode="External"/><Relationship Id="rId37" Type="http://schemas.openxmlformats.org/officeDocument/2006/relationships/hyperlink" Target="https://www.sec.gov/Archives/edgar/data/1692705/000119312517287443/d282719dex1037.htm" TargetMode="External"/><Relationship Id="rId38" Type="http://schemas.openxmlformats.org/officeDocument/2006/relationships/hyperlink" Target="https://www.sec.gov/Archives/edgar/data/1692705/000119312517287443/d282719dex101.htm" TargetMode="External"/><Relationship Id="rId39" Type="http://schemas.openxmlformats.org/officeDocument/2006/relationships/hyperlink" Target="https://www.sec.gov/Archives/edgar/data/1692705/000119312517287443/d282719dex102.htm" TargetMode="External"/><Relationship Id="rId40" Type="http://schemas.openxmlformats.org/officeDocument/2006/relationships/hyperlink" Target="https://www.sec.gov/Archives/edgar/data/1692705/000110465926065886/tm2615461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2026-06-25T06:34:32Z</dcterms:created>
  <dcterms:modified xsi:type="dcterms:W3CDTF">2026-06-25T06:34:32Z</dcterms:modified>
</cp:coreProperties>
</file>