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43"/>
          <w:szCs w:val="43"/>
          <w:b w:val="1"/>
          <w:bCs w:val="1"/>
          <w:color w:val="auto"/>
        </w:rPr>
        <w:t>HIGH TEMPLAR 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No. 101 Meishe Road, Meilin Street</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Tongan District, Xiamen, Fujian Province</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High Templar Tech Ltd Announces Fourth Quarter and Full Year 2025 Unaudited Financial Results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HIGH TEMPLAR TECH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Yan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Yan Gao</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of Finance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Limited Reports Fourth Quarter and Full Year 2025 Unaudited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XIAMEN, China, March 11, 2026/PRNewswire/ -- High Templar Tech Limited (“High Templar” or “the Company” or “We”) (NYSE: HTT), an enabler of AI-driven technology company in China, today announced its unaudited financial results for the quarter and full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29"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RMB3.2 million (US$0.5 million), compared to RMB52.2 million for the same period of last year</w:t>
      </w:r>
    </w:p>
    <w:p>
      <w:pPr>
        <w:spacing w:after="0" w:line="27" w:lineRule="exact"/>
        <w:rPr>
          <w:rFonts w:ascii="Times New Roman" w:cs="Times New Roman" w:eastAsia="Times New Roman" w:hAnsi="Times New Roman"/>
          <w:sz w:val="18"/>
          <w:szCs w:val="18"/>
          <w:color w:val="auto"/>
        </w:rPr>
      </w:pPr>
    </w:p>
    <w:p>
      <w:pPr>
        <w:ind w:left="380" w:hanging="372"/>
        <w:spacing w:after="0" w:line="260"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the Company’s shareholders was RMB163.1 million (US$23.3 million), compared to RMB66.4 million for the same period of last year; net loss per diluted ADS was RMB1.03 (US$0.15) for the fourth quarter of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229" w:lineRule="exact"/>
        <w:rPr>
          <w:sz w:val="20"/>
          <w:szCs w:val="20"/>
          <w:color w:val="auto"/>
        </w:rPr>
      </w:pPr>
    </w:p>
    <w:p>
      <w:pPr>
        <w:ind w:left="380" w:hanging="372"/>
        <w:spacing w:after="0" w:line="261"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RMB41.0 million (US$5.9 million) for 2025, representing a decrease of 81.1% from 2024, primarily attributable to the decrease in sales income generated from last-mile delivery business</w:t>
      </w:r>
    </w:p>
    <w:p>
      <w:pPr>
        <w:ind w:left="380" w:hanging="372"/>
        <w:spacing w:after="0" w:line="260"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Company’s shareholders was RMB708.6 million (US$101.3 million), compared to RMB91.7 million in 2024; net income per diluted ADS was RMB4.25 (US$0.61) for 2025</w:t>
      </w:r>
    </w:p>
    <w:p>
      <w:pPr>
        <w:spacing w:after="0" w:line="18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continued to execute our business transition while maintaining a healthy balance sheet by pursuing efficient cash management. Moving forward, we remain focused on navigating market dynamics and capitalizing on new business in order to build long-term value for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income and others </w:t>
      </w:r>
      <w:r>
        <w:rPr>
          <w:rFonts w:ascii="Times New Roman" w:cs="Times New Roman" w:eastAsia="Times New Roman" w:hAnsi="Times New Roman"/>
          <w:sz w:val="18"/>
          <w:szCs w:val="18"/>
          <w:color w:val="auto"/>
        </w:rPr>
        <w:t>decreased by 93.9% to RMB3.2 million (US$0.5 million) from RMB52.2 million for the fourth quarter of 2024, which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winding down of our last-mile delivery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Total operating costs and expenses </w:t>
      </w:r>
      <w:r>
        <w:rPr>
          <w:rFonts w:ascii="Times New Roman" w:cs="Times New Roman" w:eastAsia="Times New Roman" w:hAnsi="Times New Roman"/>
          <w:sz w:val="18"/>
          <w:szCs w:val="18"/>
          <w:color w:val="auto"/>
        </w:rPr>
        <w:t>decreased by 31.8% to RMB111.6 million (US$16.0 million) from RMB163.7 million for the fourth quarter of 2024.</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decreased by 95.2% to RMB2.3 million (US$0.3 million) from RMB47.8 million for the fourth quarter of 2024, primarily due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service cost as we wing down the last-mile delivery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decreased by 16.7% to RMB94.6 million (US$13.5 million) from RMB113.6 million for the fourth quarter of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decrease in staff compensations.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decreased by 20.3% to RMB10.2 million (US$1.5 million) from RMB12.8 million for the fourth quarter of 2024,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decrease in staff head count, which led to a corresponding decrease in staff salaries.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from operations </w:t>
      </w:r>
      <w:r>
        <w:rPr>
          <w:rFonts w:ascii="Times New Roman" w:cs="Times New Roman" w:eastAsia="Times New Roman" w:hAnsi="Times New Roman"/>
          <w:sz w:val="18"/>
          <w:szCs w:val="18"/>
          <w:color w:val="auto"/>
        </w:rPr>
        <w:t>was RMB108.4 million (US$15.5 million), compared to RMB111.3 million for the fourth quarter of 2024, mainly due to the winding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down of our last-mile delivery and decrease in staff compensations.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investment loss, net </w:t>
      </w:r>
      <w:r>
        <w:rPr>
          <w:rFonts w:ascii="Times New Roman" w:cs="Times New Roman" w:eastAsia="Times New Roman" w:hAnsi="Times New Roman"/>
          <w:sz w:val="18"/>
          <w:szCs w:val="18"/>
          <w:color w:val="auto"/>
        </w:rPr>
        <w:t>was RMB36.9 million (US$5.3 million), compared to an income of RMB8.0 million for the fourth quarter of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due to the decrease of income from investments in the fourth quarter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derivative instrument </w:t>
      </w:r>
      <w:r>
        <w:rPr>
          <w:rFonts w:ascii="Times New Roman" w:cs="Times New Roman" w:eastAsia="Times New Roman" w:hAnsi="Times New Roman"/>
          <w:sz w:val="18"/>
          <w:szCs w:val="18"/>
          <w:color w:val="auto"/>
        </w:rPr>
        <w:t>was RMB37.3 million (US$5.3 million), compared to a loss of RMB32.6 million for the fourth quarter of 2024, mainly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attributable to the increase in quoted price of the underlying equity securities relating to the derivative instruments we held.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the Company’s shareholders </w:t>
      </w:r>
      <w:r>
        <w:rPr>
          <w:rFonts w:ascii="Times New Roman" w:cs="Times New Roman" w:eastAsia="Times New Roman" w:hAnsi="Times New Roman"/>
          <w:sz w:val="18"/>
          <w:szCs w:val="18"/>
          <w:color w:val="auto"/>
        </w:rPr>
        <w:t>was RMB163.1 million (US$23.3 million), compared to RMB66.4 million in the fourth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Net loss per diluted ADS was RMB1.03 (US$0.15).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income and others </w:t>
      </w:r>
      <w:r>
        <w:rPr>
          <w:rFonts w:ascii="Times New Roman" w:cs="Times New Roman" w:eastAsia="Times New Roman" w:hAnsi="Times New Roman"/>
          <w:sz w:val="18"/>
          <w:szCs w:val="18"/>
          <w:color w:val="auto"/>
        </w:rPr>
        <w:t>decreased by 81.1% to RMB41.0 million (US$5.9 million) from RMB216.4 million for the year of 2024, which was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winding down of our last-mile delivery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Total operating costs and expenses </w:t>
      </w:r>
      <w:r>
        <w:rPr>
          <w:rFonts w:ascii="Times New Roman" w:cs="Times New Roman" w:eastAsia="Times New Roman" w:hAnsi="Times New Roman"/>
          <w:sz w:val="18"/>
          <w:szCs w:val="18"/>
          <w:color w:val="auto"/>
        </w:rPr>
        <w:t>decreased by 16.2% to RMB439.7 million (US$62.9 million) from RMB524.9 million for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decreased by 81.1% to RMB38.0 million (US$5.4 million) from RMB201.0 million for 2024, primarily due to the decrease in service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wind down the last-mile delivery business.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increased by 5.4% to RMB291.5 million (US$41.7 million) from RMB276.6 million for 2024, primarily due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depreciation and property tax expenses following the completion of the construction of the Company’s headquarters and partially offset by the decrease in staff compensations.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decreased by 21.9% to RMB45.7 million (US$6.5 million) from RMB58.5 million for 2024, primarily due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staff head count, which led to a corresponding decrease in staff salaries.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Loss from operations </w:t>
      </w:r>
      <w:r>
        <w:rPr>
          <w:rFonts w:ascii="Times New Roman" w:cs="Times New Roman" w:eastAsia="Times New Roman" w:hAnsi="Times New Roman"/>
          <w:sz w:val="18"/>
          <w:szCs w:val="18"/>
          <w:color w:val="auto"/>
        </w:rPr>
        <w:t>was RMB398.4 million (US$57.0 million) compared to RMB308.1 million for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investment income, net </w:t>
      </w:r>
      <w:r>
        <w:rPr>
          <w:rFonts w:ascii="Times New Roman" w:cs="Times New Roman" w:eastAsia="Times New Roman" w:hAnsi="Times New Roman"/>
          <w:sz w:val="18"/>
          <w:szCs w:val="18"/>
          <w:color w:val="auto"/>
        </w:rPr>
        <w:t>increased by 160.6% to RMB990.4 million (US$141.6 million) from RMB380.1 million for 2024,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attributable to the increase of income from investments in the year of 2025.</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derivative instrument </w:t>
      </w:r>
      <w:r>
        <w:rPr>
          <w:rFonts w:ascii="Times New Roman" w:cs="Times New Roman" w:eastAsia="Times New Roman" w:hAnsi="Times New Roman"/>
          <w:sz w:val="18"/>
          <w:szCs w:val="18"/>
          <w:color w:val="auto"/>
        </w:rPr>
        <w:t>was RMB188.7 million (US$27.0 million) from RMB19.5 million for 2024, mainly due to increase in quoted price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underlying equity securities relating to the derivative instruments we held.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the Company’s shareholders </w:t>
      </w:r>
      <w:r>
        <w:rPr>
          <w:rFonts w:ascii="Times New Roman" w:cs="Times New Roman" w:eastAsia="Times New Roman" w:hAnsi="Times New Roman"/>
          <w:sz w:val="18"/>
          <w:szCs w:val="18"/>
          <w:color w:val="auto"/>
        </w:rPr>
        <w:t>was RMB708.6 million (US$101.3 million), compared to RMB91.7 million in 2024; net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diluted ADS was RMB4.25 (US$0.61).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 of December 31, 2025, the Company had </w:t>
      </w: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 xml:space="preserve"> of RMB5,532.4 million (US$791.1 million) and </w:t>
      </w: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xml:space="preserve"> of RMB1,523.7 million (US$217.9 million). Restricted cash mainly represents security deposits held in designated bank accounts for the guarantee of short-term borrowings. Such restricted cash is not available to fund the general liquidity needs of the Company.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fourth quarter of 2025, net cash provided by operating activities was RMB50.0 million (US$7.1 million), mainly attributable to proceeds from interest and investment income. Net cash used in investing activities was RMB1,347.6 million (US$192.7 million), mainly due to payments of deposit pledged as collateral for derivative instrument. Net cash used in financing activities was RMB128.0 million (US$18.3 million), mainly due to the repurchase of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full year of 2025, net cash provided by operating activities was RMB687.2 million (US$98.3 million), mainly attributable to proceeds from interest and investment income. Net cash provided by investing activities was RMB851.8 million (US$121.8 million), mainly attributable to proceeds from redemption of short-term investments and redemption of deposit pledged as collateral for derivative instrument. Net cash provided by financing activities was RMB555.5 million (US$79.4 million), mainly due to the proceeds from short-term borrowings and partially offset by the repurchase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Update on Share Repurchase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approved a share repurchase program in March 2024 to purchase up to US$300 million worth of Class A ordinary shares or ADSs in the next 36 months starting from June 13, 2024. From the launch of the share repurchase program on June 13, 2024 to March 8, 2026, the Company has in aggregate purchased 28.0 million ADSs in the open market for a total amount of approximately US$77.7 million (an average price of $2.8 per ADS) pursuant to the share repurchase program.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8, 2026, the Company had in aggregate purchased 182.3 million ADSs for a total amount of approximately US$771.9 million (an average price of $4.2 per ADS).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High Templar Tech Limited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High Templar Tech Limited ("High Templar") is an enabler of AI-driven technology. High Templar is exploring innovative business opportunities globally to satisfy clients' demand by leveraging its technology know-how and financial service capabilities. For more information, please visit https://ir.hightemplar.com/.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Non-GAAP net income/loss attributable to the Company’s shareholders, a Non-GAAP financial measure, in evaluating our operating results and for financial and operational decision-making purposes. We believe that Non-GAAP net income/loss attributable to the Company’s shareholders helps identify underlying trends in our business by excluding the impact of share-based compensation expenses, which are non-cash charges. We believe that Non-GAAP net income/loss attributable to the Company’s shareholders provides useful information about our operating results, enhances the overall understanding of our past performance and future prospects and allows for greater visibility with respect to key metrics used by our management in its financial and operational decision-making.</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Non-GAAP net income/loss attributable to the Company’s shareholders is not defined under U.S. GAAP and is not presented in accordance with U.S. GAAP. This Non-GAAP financial measure has limitations as an analytical tool, and when assessing our operating performance, cash flows or our liquidity, investors should not consider them in isolation, or as a substitute for net loss /income, cash flows provided by operating activities or other consolidated statements of operation and cash flow data prepared in accordance with U.S. GAAP.</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mitigate these limitations by reconciling the Non-GAAP financial measure to the most comparable U.S. GAAP performance measure, all of which should be considered when evaluating our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this Non-GAAP financial measure, please see the table captioned "Unaudited Reconciliation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 at specified rates solely for the convenience of the reader. Unless otherwise stated, all translations from RMB to US$ were made at the rate of RMB6.9931 to US$1.00, the noon buying rate in effect on December 31, 2025, in the H.10 statistical release of the Federal Reserve Board. The Company makes no representation that the RMB or US$ amounts referred could be converted into US$ or RMB,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Among other things, the expectation of its collection efficiency and delinquency, contain forward-looking statements. High Templar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High Templar's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High Templar's goal and strategies; High Templar's expansion plans; High Templar's future business development, financial condition and results of operations; High Templar's expectations regarding demand for, and market acceptance of, its products; High Templar's expectations regarding keeping and strengthening its relationships with customers, business partners and other parties it collaborates with; general economic and business conditions; and assumptions underlying or related to any of the foregoing. Further information regarding these and other risks is included in High Templar's filings with the SEC. All information provided in this press release and in the attachments is as of the date of this press release, and High Templar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Templar Tech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+86-592-596-8208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ir@hightemplar.com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 December 31,</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number of shares and per-share data)</w:t>
            </w: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6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(Unaudited)</w:t>
            </w:r>
          </w:p>
        </w:tc>
        <w:tc>
          <w:tcPr>
            <w:tcW w:w="11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RMB</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RMB</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income and others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52,236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(47,826)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(113,560)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(94,636)</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(13,533)</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(12,816)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credit reversal/(loss) for receivables and other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loss from other assets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(163,671)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(111,616)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(15,962)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(111,278)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(108,442)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(15,508)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income/(loss),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(36,916)</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(Loss)/Gain on derivative instruments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37,250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29,524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51,216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(54,713)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(154,327)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(22,069)</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(8,816)</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(66,360)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(163,143)</w:t>
            </w:r>
          </w:p>
        </w:tc>
        <w:tc>
          <w:tcPr>
            <w:tcW w:w="12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(23,330)</w:t>
            </w: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 shareholders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(66,360)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(163,143)</w:t>
            </w:r>
          </w:p>
        </w:tc>
        <w:tc>
          <w:tcPr>
            <w:tcW w:w="12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(23,330)</w:t>
            </w: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for Class A and Class B ordinary shares: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43"/>
        </w:trPr>
        <w:tc>
          <w:tcPr>
            <w:tcW w:w="69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per ADS (1 Class A ordinary share equals 1 ADSs):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Class A and Class B ordinary shares outstanding:</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172,381,467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157,946,200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157,946,200</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177,303,133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162,728,128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162,728,128</w:t>
            </w:r>
          </w:p>
        </w:tc>
      </w:tr>
      <w:tr>
        <w:trPr>
          <w:trHeight w:val="243"/>
        </w:trPr>
        <w:tc>
          <w:tcPr>
            <w:tcW w:w="69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gain/(loss):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60,308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(29,021)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(4,150)</w:t>
            </w: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(6,052)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(192,164)</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(27,480)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the Company's shareholders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(6,052)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(192,164)</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(27,480)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60" w:type="dxa"/>
            <w:vAlign w:val="bottom"/>
            <w:tcBorders>
              <w:bottom w:val="single" w:sz="8" w:color="auto"/>
            </w:tcBorders>
            <w:gridSpan w:val="5"/>
          </w:tcPr>
          <w:p>
            <w:pPr>
              <w:jc w:val="center"/>
              <w:ind w:left="9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number of shares and per-share data)</w:t>
            </w: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6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8"/>
              </w:rPr>
              <w:t>(Unaudited)</w:t>
            </w:r>
          </w:p>
        </w:tc>
        <w:tc>
          <w:tcPr>
            <w:tcW w:w="11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6"/>
                <w:szCs w:val="16"/>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RMB</w:t>
            </w: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RMB</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income and others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40,964</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5,858</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216,428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(201,023)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(38,045)</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(5,440)</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(276,565)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(291,504)</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(41,685)</w:t>
            </w: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(58,464)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(6,540)</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credit reversal/(loss) for receivables and other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(2,122)</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loss from other assets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(54,276)</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(7,761)</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(524,874)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(439,745)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(62,882)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(308,148)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(398,404)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(56,970)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380,062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990,369</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141,621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188,711</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20,658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26,020</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157,537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739,302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105,719</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(65,806)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(30,675)</w:t>
            </w: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(4,386)</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708,627</w:t>
            </w:r>
          </w:p>
        </w:tc>
        <w:tc>
          <w:tcPr>
            <w:tcW w:w="1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101,333</w:t>
            </w: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Company's shareholders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708,627</w:t>
            </w:r>
          </w:p>
        </w:tc>
        <w:tc>
          <w:tcPr>
            <w:tcW w:w="1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101,333</w:t>
            </w: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for Class A and Class B ordinary shares: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ADS (1 Class A ordinary share equals 1 ADSs):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r>
      <w:tr>
        <w:trPr>
          <w:trHeight w:val="243"/>
        </w:trPr>
        <w:tc>
          <w:tcPr>
            <w:tcW w:w="69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Class A and Class B ordinary shares outstanding:</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182,859,075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162,123,417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162,123,417</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187,780,699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166,905,308</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166,905,308</w:t>
            </w:r>
          </w:p>
        </w:tc>
      </w:tr>
      <w:tr>
        <w:trPr>
          <w:trHeight w:val="243"/>
        </w:trPr>
        <w:tc>
          <w:tcPr>
            <w:tcW w:w="69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gain/(loss):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37,882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(68,933)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(9,857)</w:t>
            </w: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129,613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639,694</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91,476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the Company's shareholders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129,613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639,694</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91,476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27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 of December 31,</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number of shares and per-share data)</w:t>
            </w:r>
          </w:p>
        </w:tc>
        <w:tc>
          <w:tcPr>
            <w:tcW w:w="26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gridSpan w:val="3"/>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(Unaudited)</w:t>
            </w:r>
          </w:p>
        </w:tc>
        <w:tc>
          <w:tcPr>
            <w:tcW w:w="112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RMB</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RMB</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4,263,312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5,532,376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791,119</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781,187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1,523,658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217,880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structured deposit</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2,009,019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1,885,243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269,586</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instruments-asset</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113,191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16,186</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1,118,547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879,225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125,727</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34,275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1,933,182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1,420,231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203,090</w:t>
            </w:r>
          </w:p>
        </w:tc>
      </w:tr>
      <w:tr>
        <w:trPr>
          <w:trHeight w:val="209"/>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10,139,522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11,359,275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1,624,353</w:t>
            </w:r>
          </w:p>
        </w:tc>
        <w:tc>
          <w:tcPr>
            <w:tcW w:w="100" w:type="dxa"/>
            <w:vAlign w:val="bottom"/>
            <w:tcBorders>
              <w:bottom w:val="single" w:sz="8" w:color="CCEEFF"/>
            </w:tcBorders>
          </w:tcPr>
          <w:p>
            <w:pPr>
              <w:spacing w:after="0"/>
              <w:rPr>
                <w:sz w:val="18"/>
                <w:szCs w:val="18"/>
                <w:color w:val="auto"/>
              </w:rPr>
            </w:pPr>
          </w:p>
        </w:tc>
      </w:tr>
      <w:tr>
        <w:trPr>
          <w:trHeight w:val="209"/>
        </w:trPr>
        <w:tc>
          <w:tcPr>
            <w:tcW w:w="5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92,623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13,245</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method investee</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146,101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126,533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18,094</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10,406</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1,586,034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1,677,993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239,950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353,369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282,132</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40,345</w:t>
            </w:r>
          </w:p>
        </w:tc>
      </w:tr>
      <w:tr>
        <w:trPr>
          <w:trHeight w:val="209"/>
        </w:trPr>
        <w:tc>
          <w:tcPr>
            <w:tcW w:w="5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2,324,705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2,253,636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12,464,227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13,612,911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1,946,620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1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27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 of December 31,</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number of shares and per-share data)</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gridSpan w:val="3"/>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(Unaudited)</w:t>
            </w:r>
          </w:p>
        </w:tc>
        <w:tc>
          <w:tcPr>
            <w:tcW w:w="112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6"/>
                <w:szCs w:val="16"/>
                <w:color w:val="auto"/>
              </w:rPr>
            </w:pPr>
          </w:p>
        </w:tc>
      </w:tr>
      <w:tr>
        <w:trPr>
          <w:trHeight w:val="234"/>
        </w:trPr>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RMB</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RMB</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225,365</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liability</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7,438</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262,078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290,252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41,506</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58,156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8,316</w:t>
            </w:r>
          </w:p>
        </w:tc>
      </w:tr>
      <w:tr>
        <w:trPr>
          <w:trHeight w:val="209"/>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1,124,093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1,980,653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283,230</w:t>
            </w:r>
          </w:p>
        </w:tc>
        <w:tc>
          <w:tcPr>
            <w:tcW w:w="10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48,706</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1,172,799</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1,981,308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283,324</w:t>
            </w:r>
          </w:p>
        </w:tc>
        <w:tc>
          <w:tcPr>
            <w:tcW w:w="100" w:type="dxa"/>
            <w:vAlign w:val="bottom"/>
            <w:shd w:val="clear" w:color="auto" w:fill="CCEEFF"/>
          </w:tcPr>
          <w:p>
            <w:pPr>
              <w:spacing w:after="0"/>
              <w:rPr>
                <w:sz w:val="18"/>
                <w:szCs w:val="18"/>
                <w:color w:val="auto"/>
              </w:rPr>
            </w:pPr>
          </w:p>
        </w:tc>
      </w:tr>
      <w:tr>
        <w:trPr>
          <w:trHeight w:val="209"/>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 shares</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(1,419,286)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(1,716,516)</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(245,459)</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4,026,668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4,024,379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575,479</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profit/(loss)</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13,752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(55,181)</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(7,891)</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8,670,118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9,378,745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1,341,143</w:t>
            </w:r>
          </w:p>
        </w:tc>
      </w:tr>
      <w:tr>
        <w:trPr>
          <w:trHeight w:val="210"/>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11,291,428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11,631,603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1,663,296</w:t>
            </w:r>
          </w:p>
        </w:tc>
      </w:tr>
      <w:tr>
        <w:trPr>
          <w:trHeight w:val="210"/>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12,464,227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13,612,911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1,946,620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6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for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and per-share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8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Total net loss attributable to the Company’s shareholders </w:t>
      </w:r>
      <w:r>
        <w:rPr>
          <w:rFonts w:ascii="Times New Roman" w:cs="Times New Roman" w:eastAsia="Times New Roman" w:hAnsi="Times New Roman"/>
          <w:sz w:val="18"/>
          <w:szCs w:val="18"/>
          <w:color w:val="auto"/>
        </w:rPr>
        <w:t>Add: Share-based compensation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net loss attributable to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Three months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(Unaudited)</w:t>
            </w:r>
          </w:p>
        </w:tc>
        <w:tc>
          <w:tcPr>
            <w:tcW w:w="11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(Unaudited)</w:t>
            </w:r>
          </w:p>
        </w:tc>
      </w:tr>
      <w:tr>
        <w:trPr>
          <w:trHeight w:val="212"/>
        </w:trPr>
        <w:tc>
          <w:tcPr>
            <w:tcW w:w="148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RMB</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RMB</w:t>
            </w:r>
          </w:p>
        </w:tc>
        <w:tc>
          <w:tcPr>
            <w:tcW w:w="11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US$</w:t>
            </w:r>
          </w:p>
        </w:tc>
      </w:tr>
      <w:tr>
        <w:trPr>
          <w:trHeight w:val="233"/>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(66,360)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(163,143)</w:t>
            </w:r>
          </w:p>
        </w:tc>
        <w:tc>
          <w:tcPr>
            <w:tcW w:w="12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(23,330)</w:t>
            </w:r>
          </w:p>
        </w:tc>
      </w:tr>
      <w:tr>
        <w:trPr>
          <w:trHeight w:val="234"/>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(23,330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 per share—basic</w:t>
            </w:r>
          </w:p>
        </w:tc>
        <w:tc>
          <w:tcPr>
            <w:tcW w:w="3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(0.37)</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per share—diluted</w:t>
            </w:r>
          </w:p>
        </w:tc>
        <w:tc>
          <w:tcPr>
            <w:tcW w:w="3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(0.37)</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172,381,467</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157,946,200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157,946,200</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177,303,133</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162,728,128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162,728,128</w:t>
            </w:r>
          </w:p>
        </w:tc>
      </w:tr>
      <w:tr>
        <w:trPr>
          <w:trHeight w:val="657"/>
        </w:trPr>
        <w:tc>
          <w:tcPr>
            <w:tcW w:w="5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for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and per-share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5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Total net income attributable to the Company’s shareholders </w:t>
      </w:r>
      <w:r>
        <w:rPr>
          <w:rFonts w:ascii="Times New Roman" w:cs="Times New Roman" w:eastAsia="Times New Roman" w:hAnsi="Times New Roman"/>
          <w:sz w:val="18"/>
          <w:szCs w:val="18"/>
          <w:color w:val="auto"/>
        </w:rPr>
        <w:t>Add: Share-based compensation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top w:val="single" w:sz="8" w:color="auto"/>
              <w:bottom w:val="single" w:sz="8" w:color="auto"/>
            </w:tcBorders>
          </w:tcPr>
          <w:p>
            <w:pPr>
              <w:spacing w:after="0"/>
              <w:rPr>
                <w:sz w:val="19"/>
                <w:szCs w:val="19"/>
                <w:color w:val="auto"/>
              </w:rPr>
            </w:pPr>
          </w:p>
        </w:tc>
      </w:tr>
      <w:tr>
        <w:trPr>
          <w:trHeight w:val="218"/>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(Unaudited)</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r>
      <w:tr>
        <w:trPr>
          <w:trHeight w:val="212"/>
        </w:trPr>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RMB</w:t>
            </w: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RMB</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r>
      <w:tr>
        <w:trPr>
          <w:trHeight w:val="233"/>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708,627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101,333</w:t>
            </w:r>
          </w:p>
        </w:tc>
      </w:tr>
      <w:tr>
        <w:trPr>
          <w:trHeight w:val="23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93,989</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708,627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101,333</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share—basic</w:t>
            </w:r>
          </w:p>
        </w:tc>
        <w:tc>
          <w:tcPr>
            <w:tcW w:w="3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0.51</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share—diluted</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0.50</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4.25</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182,859,075</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162,123,417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162,123,417</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187,780,699</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166,905,308</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166,905,308</w:t>
            </w:r>
          </w:p>
        </w:tc>
      </w:tr>
      <w:tr>
        <w:trPr>
          <w:trHeight w:val="657"/>
        </w:trPr>
        <w:tc>
          <w:tcPr>
            <w:tcW w:w="5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2026-03-11T06:11:21Z</dcterms:created>
  <dcterms:modified xsi:type="dcterms:W3CDTF">2026-03-11T06:11:21Z</dcterms:modified>
</cp:coreProperties>
</file>